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6</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w:t>
      </w:r>
      <w:bookmarkStart w:id="0" w:name="__DdeLink__57_1273219247"/>
      <w:bookmarkEnd w:id="0"/>
      <w:r>
        <w:rPr>
          <w:rFonts w:cs="Arial"/>
          <w:color w:val="4472C4" w:themeColor="accent1"/>
          <w:sz w:val="24"/>
          <w:szCs w:val="24"/>
        </w:rPr>
        <w:t>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1" w:name="__RefHeading___Toc50881_1931121026"/>
      <w:bookmarkStart w:id="2" w:name="_Toc1"/>
      <w:bookmarkEnd w:id="1"/>
      <w:r>
        <w:rPr/>
        <w:t>INFORMATIONS ADMINISTRATIVES (RENSEIGNE PAR LA COLLECTIVITE)</w:t>
      </w:r>
      <w:bookmarkEnd w:id="2"/>
    </w:p>
    <w:p>
      <w:pPr>
        <w:pStyle w:val="Titre2"/>
        <w:numPr>
          <w:ilvl w:val="1"/>
          <w:numId w:val="2"/>
        </w:numPr>
        <w:rPr/>
      </w:pPr>
      <w:bookmarkStart w:id="3" w:name="__RefHeading___Toc50883_1931121026"/>
      <w:bookmarkStart w:id="4" w:name="_Toc2"/>
      <w:bookmarkEnd w:id="3"/>
      <w:r>
        <w:rPr/>
        <w:t>Marché</w:t>
      </w:r>
      <w:bookmarkEnd w:id="4"/>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5" w:name="__RefHeading___Toc50885_1931121026"/>
      <w:bookmarkStart w:id="6" w:name="_Toc3"/>
      <w:bookmarkEnd w:id="5"/>
      <w:r>
        <w:rPr/>
        <w:t>Pouvoir adjudicateur</w:t>
      </w:r>
      <w:bookmarkEnd w:id="6"/>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7" w:name="__RefHeading___Toc50887_1931121026"/>
      <w:bookmarkStart w:id="8" w:name="_Toc4"/>
      <w:bookmarkEnd w:id="7"/>
      <w:r>
        <w:rPr/>
        <w:t>Informations comptables et financières</w:t>
      </w:r>
      <w:bookmarkEnd w:id="8"/>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9" w:name="__RefHeading___Toc50889_1931121026"/>
      <w:bookmarkStart w:id="10" w:name="_Toc5"/>
      <w:bookmarkEnd w:id="9"/>
      <w:r>
        <w:rPr/>
        <w:t>Code CPV</w:t>
      </w:r>
      <w:bookmarkEnd w:id="10"/>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1" w:name="__RefHeading___Toc50891_1931121026"/>
      <w:bookmarkStart w:id="12" w:name="_Toc6"/>
      <w:bookmarkEnd w:id="11"/>
      <w:r>
        <w:rPr/>
        <w:t>Réemploi, réutilisation ou intégration de matières recyclées</w:t>
      </w:r>
      <w:bookmarkEnd w:id="12"/>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3" w:name="__RefHeading___Toc50893_1931121026"/>
      <w:bookmarkStart w:id="14" w:name="_Toc2_Copie_1"/>
      <w:bookmarkEnd w:id="13"/>
      <w:r>
        <w:rPr/>
        <w:t>CONTRACTANT(S)</w:t>
      </w:r>
      <w:bookmarkEnd w:id="14"/>
    </w:p>
    <w:p>
      <w:pPr>
        <w:pStyle w:val="Titre2"/>
        <w:numPr>
          <w:ilvl w:val="1"/>
          <w:numId w:val="2"/>
        </w:numPr>
        <w:rPr/>
      </w:pPr>
      <w:bookmarkStart w:id="15" w:name="__RefHeading___Toc50895_1931121026"/>
      <w:bookmarkStart w:id="16" w:name="_Toc3_Copie_1"/>
      <w:bookmarkEnd w:id="15"/>
      <w:r>
        <w:rPr/>
        <w:t>Identification</w:t>
      </w:r>
      <w:bookmarkEnd w:id="16"/>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7" w:name="__RefHeading___Toc50897_1931121026"/>
      <w:bookmarkStart w:id="18" w:name="_Toc4_Copie_1"/>
      <w:bookmarkEnd w:id="17"/>
      <w:r>
        <w:rPr/>
        <w:t>Compte à créditer</w:t>
      </w:r>
      <w:bookmarkEnd w:id="18"/>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9" w:name="__RefHeading___Toc50899_1931121026"/>
      <w:bookmarkStart w:id="20" w:name="_Toc3_Copie_2"/>
      <w:bookmarkEnd w:id="19"/>
      <w:r>
        <w:rPr/>
        <w:t>OBJET</w:t>
      </w:r>
      <w:bookmarkEnd w:id="20"/>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6</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6</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1" w:name="__RefHeading___Toc50901_1931121026"/>
      <w:bookmarkStart w:id="22" w:name="_Toc4_Copie_2"/>
      <w:bookmarkEnd w:id="21"/>
      <w:r>
        <w:rPr/>
        <w:t>MONTANT ET PRIX DU MARCHE</w:t>
      </w:r>
      <w:bookmarkEnd w:id="22"/>
    </w:p>
    <w:p>
      <w:pPr>
        <w:pStyle w:val="Titre2"/>
        <w:numPr>
          <w:ilvl w:val="1"/>
          <w:numId w:val="2"/>
        </w:numPr>
        <w:rPr/>
      </w:pPr>
      <w:bookmarkStart w:id="23" w:name="__RefHeading___Toc50903_1931121026"/>
      <w:bookmarkStart w:id="24" w:name="_Toc5_Copie_1"/>
      <w:bookmarkEnd w:id="23"/>
      <w:r>
        <w:rPr/>
        <w:t>Forme du prix</w:t>
      </w:r>
      <w:bookmarkEnd w:id="24"/>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5" w:name="__RefHeading___Toc50905_1931121026"/>
      <w:bookmarkStart w:id="26" w:name="_Toc6_Copie_1"/>
      <w:bookmarkEnd w:id="25"/>
      <w:r>
        <w:rPr/>
        <w:t>Montant</w:t>
      </w:r>
      <w:bookmarkEnd w:id="26"/>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6</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6</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1 650 €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7 920€ HT</w:t>
            </w:r>
          </w:p>
        </w:tc>
      </w:tr>
    </w:tbl>
    <w:p>
      <w:pPr>
        <w:pStyle w:val="Titre2"/>
        <w:numPr>
          <w:ilvl w:val="1"/>
          <w:numId w:val="2"/>
        </w:numPr>
        <w:rPr/>
      </w:pPr>
      <w:bookmarkStart w:id="27" w:name="__RefHeading___Toc50907_1931121026"/>
      <w:bookmarkStart w:id="28" w:name="_Toc7"/>
      <w:bookmarkEnd w:id="27"/>
      <w:r>
        <w:rPr/>
        <w:t>Sous traitance</w:t>
      </w:r>
      <w:bookmarkEnd w:id="28"/>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9" w:name="__RefHeading___Toc50909_1931121026"/>
      <w:bookmarkStart w:id="30" w:name="_Toc5_Copie_2"/>
      <w:bookmarkEnd w:id="29"/>
      <w:r>
        <w:rPr/>
        <w:t>AVANCE</w:t>
      </w:r>
      <w:bookmarkEnd w:id="30"/>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1" w:name="__RefHeading___Toc50911_1931121026"/>
      <w:bookmarkStart w:id="32" w:name="_Toc6_Copie_2"/>
      <w:bookmarkEnd w:id="31"/>
      <w:r>
        <w:rPr/>
        <w:t>DUREE</w:t>
      </w:r>
      <w:bookmarkEnd w:id="32"/>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3" w:name="__RefHeading___Toc50913_1931121026"/>
      <w:bookmarkStart w:id="34" w:name="_Toc7_Copie_1"/>
      <w:bookmarkEnd w:id="33"/>
      <w:r>
        <w:rPr/>
        <w:t>PROVENANCE DES FOURNITURES</w:t>
      </w:r>
      <w:bookmarkEnd w:id="34"/>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5" w:name="__RefHeading___Toc50915_1931121026"/>
      <w:bookmarkStart w:id="36" w:name="_Toc8"/>
      <w:bookmarkEnd w:id="35"/>
      <w:r>
        <w:rPr/>
        <w:t>DELAI DE VALIDITE DES OFFRES</w:t>
      </w:r>
      <w:bookmarkEnd w:id="36"/>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7" w:name="__RefHeading___Toc50917_1931121026"/>
      <w:bookmarkStart w:id="38" w:name="_Toc9"/>
      <w:bookmarkEnd w:id="37"/>
      <w:r>
        <w:rPr/>
        <w:t>ENGAGEMENT ET SIGNATURE DU CANDIDAT</w:t>
      </w:r>
      <w:bookmarkEnd w:id="38"/>
    </w:p>
    <w:p>
      <w:pPr>
        <w:pStyle w:val="Normal"/>
        <w:jc w:val="left"/>
        <w:rPr>
          <w:highlight w:val="none"/>
          <w:shd w:fill="FFFFFF" w:val="clear"/>
        </w:rPr>
      </w:pPr>
      <w:sdt>
        <w:sdtPr>
          <w:id w:val="244333696"/>
          <w:text w:multiLine="true"/>
          <w:alias w:val="CHAPITRE 9 CLAUSE CLA100034 - INITIALE - (voir info bulle)"/>
          <w:docPartObj/>
        </w:sdtPr>
        <w:sdtContent>
          <w:r>
            <w:rPr/>
            <w:t xml:space="preserve"> 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id w:val="1126541993"/>
          <w:text w:multiLine="true"/>
          <w:alias w:val="CHAPITRE 9 CLAUSE CLA100530 - VALIDE"/>
          <w:docPartObj/>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id w:val="99373590"/>
          <w:text w:multiLine="true"/>
          <w:alias w:val="CHAPITRE 9 CLAUSE CLA100401 - VALIDE"/>
          <w:docPartObj/>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9" w:name="__RefHeading___Toc50919_1931121026"/>
      <w:bookmarkStart w:id="40" w:name="_Toc10"/>
      <w:bookmarkEnd w:id="39"/>
      <w:r>
        <w:rPr/>
        <w:t>SIGNATURE DU POUVOIR ADJUDICATEUR</w:t>
      </w:r>
      <w:bookmarkEnd w:id="40"/>
    </w:p>
    <w:p>
      <w:pPr>
        <w:pStyle w:val="Normal"/>
        <w:rPr/>
      </w:pPr>
      <w:r>
        <w:rPr/>
        <w:br/>
      </w:r>
      <w:sdt>
        <w:sdtPr>
          <w:id w:val="971893899"/>
          <w:text w:multiLine="true"/>
          <w:alias w:val="CHAPITRE 10 CLAUSE CLA100035 - INITIALE - (voir info bulle)"/>
          <w:docPartObj/>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id w:val="1330202254"/>
          <w:text w:multiLine="true"/>
          <w:alias w:val="CHAPITRE 10 CLAUSE CLA100402 - INITIALE - (voir info bulle)"/>
          <w:docPartObj/>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1" w:name="__RefHeading___Toc50921_1931121026"/>
      <w:bookmarkStart w:id="42" w:name="_Toc11"/>
      <w:bookmarkEnd w:id="41"/>
      <w:r>
        <w:rPr/>
        <w:t>NOTIFICATION DU MARCHE</w:t>
      </w:r>
      <w:bookmarkEnd w:id="42"/>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3" w:name="__RefHeading___Toc50923_1931121026"/>
      <w:bookmarkStart w:id="44" w:name="_Toc12"/>
      <w:bookmarkEnd w:id="43"/>
      <w:r>
        <w:rPr/>
        <w:t>EXEMPLAIRE UNIQUE ET NANTISSEMENT OU CESSION DE CREANCE</w:t>
      </w:r>
      <w:bookmarkEnd w:id="44"/>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highlight w:val="none"/>
          <w:shd w:fill="FFFFFF" w:val="clear"/>
        </w:rPr>
      </w:pPr>
      <w:r>
        <w:rPr>
          <w:shd w:fill="FFFFFF" w:val="clear"/>
        </w:rPr>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AE_24_1914_lot 6</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1"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LibreOffice/7.4.7.2$Windows_X86_64 LibreOffice_project/723314e595e8007d3cf785c16538505a1c878ca5</Application>
  <AppVersion>15.0000</AppVersion>
  <Pages>14</Pages>
  <Words>2571</Words>
  <Characters>20417</Characters>
  <CharactersWithSpaces>22737</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2024-07-08T16:58:23Z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