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Style w:val="Strong"/>
          <w:rFonts w:ascii="Arial" w:hAnsi="Arial" w:cs="Arial"/>
          <w:sz w:val="21"/>
          <w:szCs w:val="21"/>
          <w:shd w:fill="B2B2B2" w:val="clear"/>
        </w:rPr>
      </w:pPr>
      <w:r>
        <w:rPr>
          <w:rFonts w:cs="Arial" w:ascii="Arial" w:hAnsi="Arial"/>
          <w:sz w:val="21"/>
          <w:szCs w:val="21"/>
          <w:shd w:fill="B2B2B2" w:val="clear"/>
        </w:rPr>
      </w:r>
    </w:p>
    <w:p>
      <w:pPr>
        <w:pStyle w:val="BodyText3"/>
        <w:widowControl w:val="false"/>
        <w:spacing w:lineRule="atLeast" w:line="240"/>
        <w:jc w:val="center"/>
        <w:rPr>
          <w:rStyle w:val="Strong"/>
          <w:rFonts w:ascii="Arial" w:hAnsi="Arial" w:cs="Arial"/>
          <w:sz w:val="21"/>
          <w:szCs w:val="21"/>
          <w:shd w:fill="B2B2B2" w:val="clear"/>
        </w:rPr>
      </w:pPr>
      <w:r>
        <w:rPr>
          <w:rFonts w:cs="Arial" w:ascii="Arial" w:hAnsi="Arial"/>
          <w:sz w:val="21"/>
          <w:szCs w:val="21"/>
          <w:shd w:fill="B2B2B2" w:val="clear"/>
        </w:rPr>
      </w:r>
    </w:p>
    <w:p>
      <w:pPr>
        <w:pStyle w:val="Normal"/>
        <w:jc w:val="center"/>
        <w:rPr>
          <w:rFonts w:ascii="Arial" w:hAnsi="Arial" w:cs="Arial"/>
          <w:b/>
          <w:bCs/>
          <w:sz w:val="32"/>
          <w:szCs w:val="32"/>
          <w:shd w:fill="B2B2B2" w:val="clear"/>
        </w:rPr>
      </w:pPr>
      <w:r>
        <w:rPr>
          <w:rFonts w:cs="Arial" w:ascii="Arial" w:hAnsi="Arial"/>
          <w:b/>
          <w:bCs/>
          <w:sz w:val="32"/>
          <w:szCs w:val="32"/>
          <w:shd w:fill="B2B2B2" w:val="clear"/>
        </w:rPr>
        <w:t xml:space="preserve">MÉMOIRE TECHNIQUE </w:t>
      </w:r>
    </w:p>
    <w:p>
      <w:pPr>
        <w:pStyle w:val="Normal"/>
        <w:jc w:val="center"/>
        <w:rPr>
          <w:rFonts w:ascii="Arial" w:hAnsi="Arial" w:cs="Arial"/>
          <w:b/>
          <w:bCs/>
          <w:sz w:val="32"/>
          <w:szCs w:val="32"/>
          <w:shd w:fill="B2B2B2" w:val="clear"/>
        </w:rPr>
      </w:pPr>
      <w:r>
        <w:rPr>
          <w:rFonts w:cs="Arial" w:ascii="Arial" w:hAnsi="Arial"/>
          <w:b/>
          <w:bCs/>
          <w:sz w:val="32"/>
          <w:szCs w:val="32"/>
          <w:shd w:fill="B2B2B2" w:val="clear"/>
        </w:rPr>
      </w:r>
    </w:p>
    <w:p>
      <w:pPr>
        <w:pStyle w:val="Normal"/>
        <w:jc w:val="center"/>
        <w:rPr>
          <w:rFonts w:ascii="Arial" w:hAnsi="Arial" w:cs="Arial" w:asciiTheme="minorHAnsi" w:cstheme="minorHAnsi" w:hAnsiTheme="minorHAnsi"/>
          <w:sz w:val="40"/>
          <w:szCs w:val="40"/>
        </w:rPr>
      </w:pPr>
      <w:r>
        <w:rPr>
          <w:rFonts w:cs="Arial" w:cstheme="minorHAnsi" w:ascii="Arial" w:hAnsi="Arial"/>
          <w:sz w:val="40"/>
          <w:szCs w:val="40"/>
        </w:rPr>
      </w:r>
    </w:p>
    <w:p>
      <w:pPr>
        <w:pStyle w:val="BodyText"/>
        <w:widowControl w:val="false"/>
        <w:jc w:val="center"/>
        <w:rPr>
          <w:rFonts w:ascii="Arial" w:hAnsi="Arial" w:cs="Arial" w:asciiTheme="minorHAnsi" w:cstheme="minorHAnsi" w:hAnsiTheme="minorHAnsi"/>
          <w:sz w:val="40"/>
          <w:szCs w:val="40"/>
        </w:rPr>
      </w:pPr>
      <w:r>
        <w:rPr>
          <w:rFonts w:cs="Arial" w:cstheme="minorHAnsi" w:ascii="Arial" w:hAnsi="Arial"/>
          <w:sz w:val="40"/>
          <w:szCs w:val="40"/>
        </w:rPr>
      </w:r>
    </w:p>
    <w:p>
      <w:pPr>
        <w:pStyle w:val="BodyText"/>
        <w:widowControl w:val="false"/>
        <w:jc w:val="center"/>
        <w:rPr>
          <w:rFonts w:ascii="Arial" w:hAnsi="Arial" w:cs="Arial" w:asciiTheme="minorHAnsi" w:cstheme="minorHAnsi" w:hAnsiTheme="minorHAnsi"/>
          <w:sz w:val="40"/>
          <w:szCs w:val="40"/>
        </w:rPr>
      </w:pPr>
      <w:r>
        <w:rPr>
          <w:rFonts w:cs="Arial" w:ascii="Arial" w:hAnsi="Arial" w:asciiTheme="minorHAnsi" w:cstheme="minorHAnsi" w:hAnsiTheme="minorHAnsi"/>
          <w:sz w:val="40"/>
          <w:szCs w:val="40"/>
        </w:rPr>
        <w:t xml:space="preserve">Élaboration des menus, fourniture et livraison de repas de substitution pour raison sanitaire dans les établissements d’accueil </w:t>
      </w:r>
      <w:r>
        <w:rPr>
          <w:rFonts w:eastAsia="Arial" w:cs="Arial" w:ascii="Arial" w:hAnsi="Arial" w:asciiTheme="minorHAnsi" w:cstheme="minorHAnsi" w:hAnsiTheme="minorHAnsi"/>
          <w:color w:val="000000"/>
          <w:sz w:val="40"/>
          <w:szCs w:val="40"/>
          <w:shd w:fill="FFFFFF" w:val="clear"/>
        </w:rPr>
        <w:t>de la petite enfance</w:t>
      </w:r>
      <w:r>
        <w:rPr>
          <w:rFonts w:cs="Arial" w:ascii="Arial" w:hAnsi="Arial" w:asciiTheme="minorHAnsi" w:cstheme="minorHAnsi" w:hAnsiTheme="minorHAnsi"/>
          <w:sz w:val="40"/>
          <w:szCs w:val="40"/>
        </w:rPr>
        <w:t xml:space="preserve"> de la Ville de Marseille (lot 2)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Arial" w:hAnsi="Arial" w:cs="Arial"/>
          <w:b/>
          <w:bCs/>
          <w:sz w:val="32"/>
          <w:szCs w:val="32"/>
          <w:shd w:fill="B2B2B2" w:val="clear"/>
        </w:rPr>
      </w:pPr>
      <w:r>
        <w:rPr>
          <w:rFonts w:cs="Arial" w:ascii="Arial" w:hAnsi="Arial"/>
          <w:b/>
          <w:bCs/>
          <w:sz w:val="32"/>
          <w:szCs w:val="32"/>
          <w:shd w:fill="B2B2B2" w:val="clear"/>
        </w:rPr>
      </w:r>
    </w:p>
    <w:p>
      <w:pPr>
        <w:pStyle w:val="BodyText3"/>
        <w:widowControl w:val="false"/>
        <w:spacing w:lineRule="atLeast" w:line="240"/>
        <w:jc w:val="center"/>
        <w:rPr>
          <w:rFonts w:ascii="Helvetica" w:hAnsi="Helvetica" w:cs="Arial"/>
          <w:b/>
          <w:bCs/>
          <w:sz w:val="20"/>
          <w:shd w:fill="B2B2B2" w:val="clear"/>
        </w:rPr>
      </w:pPr>
      <w:r>
        <w:rPr>
          <w:rFonts w:cs="Arial" w:ascii="Helvetica" w:hAnsi="Helvetica"/>
          <w:b/>
          <w:bCs/>
          <w:sz w:val="20"/>
          <w:shd w:fill="B2B2B2" w:val="clear"/>
        </w:rPr>
      </w:r>
    </w:p>
    <w:p>
      <w:pPr>
        <w:pStyle w:val="Normal"/>
        <w:jc w:val="center"/>
        <w:rPr>
          <w:rFonts w:ascii="Arial" w:hAnsi="Arial" w:cs="Arial"/>
          <w:b/>
          <w:bCs/>
          <w:sz w:val="32"/>
          <w:szCs w:val="32"/>
          <w:shd w:fill="B2B2B2" w:val="clear"/>
        </w:rPr>
      </w:pPr>
      <w:r>
        <w:rPr>
          <w:rFonts w:cs="Arial" w:ascii="Arial" w:hAnsi="Arial"/>
          <w:b/>
          <w:bCs/>
          <w:sz w:val="32"/>
          <w:szCs w:val="32"/>
          <w:shd w:fill="B2B2B2" w:val="clear"/>
        </w:rPr>
      </w:r>
    </w:p>
    <w:p>
      <w:pPr>
        <w:pStyle w:val="Normal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</w:p>
    <w:p>
      <w:pPr>
        <w:pStyle w:val="Normal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</w:p>
    <w:p>
      <w:pPr>
        <w:pStyle w:val="Normal"/>
        <w:rPr>
          <w:rFonts w:ascii="Arial" w:hAnsi="Arial" w:cs="Arial"/>
          <w:sz w:val="6"/>
          <w:szCs w:val="4"/>
        </w:rPr>
      </w:pPr>
      <w:r>
        <w:rPr>
          <w:rFonts w:cs="Arial" w:ascii="Arial" w:hAnsi="Arial"/>
          <w:sz w:val="6"/>
          <w:szCs w:val="4"/>
        </w:rPr>
      </w:r>
    </w:p>
    <w:tbl>
      <w:tblPr>
        <w:tblW w:w="15447" w:type="dxa"/>
        <w:jc w:val="left"/>
        <w:tblInd w:w="-11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firstRow="1" w:noVBand="1" w:lastRow="0" w:firstColumn="1" w:lastColumn="0" w:noHBand="0" w:val="04a0"/>
      </w:tblPr>
      <w:tblGrid>
        <w:gridCol w:w="15447"/>
      </w:tblGrid>
      <w:tr>
        <w:trPr>
          <w:trHeight w:val="738" w:hRule="atLeast"/>
        </w:trPr>
        <w:tc>
          <w:tcPr>
            <w:tcW w:w="15447" w:type="dxa"/>
            <w:tcBorders>
              <w:top w:val="threeDEmboss" w:sz="4" w:space="0" w:color="000000"/>
              <w:left w:val="threeDEmboss" w:sz="4" w:space="0" w:color="000000"/>
              <w:bottom w:val="threeDEmboss" w:sz="4" w:space="0" w:color="000000"/>
              <w:right w:val="threeDEmboss" w:sz="4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color w:val="000000"/>
                <w:sz w:val="30"/>
                <w:szCs w:val="30"/>
                <w:shd w:fill="C0C0C0" w:val="clear"/>
              </w:rPr>
            </w:pPr>
            <w:r>
              <w:rPr>
                <w:rFonts w:cs="Arial" w:ascii="Arial" w:hAnsi="Arial"/>
                <w:b/>
                <w:color w:val="000000"/>
                <w:sz w:val="30"/>
                <w:szCs w:val="30"/>
                <w:shd w:fill="C0C0C0" w:val="clear"/>
              </w:rPr>
              <w:t>NOM DU CANDIDAT :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</w:tc>
      </w:tr>
      <w:tr>
        <w:trPr>
          <w:trHeight w:val="1579" w:hRule="atLeast"/>
        </w:trPr>
        <w:tc>
          <w:tcPr>
            <w:tcW w:w="15447" w:type="dxa"/>
            <w:tcBorders>
              <w:left w:val="threeDEmboss" w:sz="4" w:space="0" w:color="000000"/>
              <w:bottom w:val="threeDEmboss" w:sz="4" w:space="0" w:color="000000"/>
              <w:right w:val="threeDEmboss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color w:val="CCCCCC"/>
                <w:shd w:fill="FFFFFF" w:val="clear"/>
              </w:rPr>
            </w:pPr>
            <w:r>
              <w:rPr>
                <w:rFonts w:cs="Arial" w:ascii="Arial" w:hAnsi="Arial"/>
                <w:b/>
                <w:color w:val="CCCCCC"/>
                <w:shd w:fill="FFFFFF" w:val="clear"/>
              </w:rPr>
            </w:r>
          </w:p>
        </w:tc>
      </w:tr>
    </w:tbl>
    <w:p>
      <w:pPr>
        <w:pStyle w:val="Normal"/>
        <w:rPr>
          <w:rFonts w:ascii="Arial" w:hAnsi="Arial" w:cs="Arial"/>
          <w:caps/>
          <w:sz w:val="12"/>
          <w:szCs w:val="12"/>
        </w:rPr>
      </w:pPr>
      <w:r>
        <w:rPr>
          <w:rFonts w:cs="Arial" w:ascii="Arial" w:hAnsi="Arial"/>
          <w:caps/>
          <w:sz w:val="12"/>
          <w:szCs w:val="12"/>
        </w:rPr>
      </w:r>
      <w:r>
        <w:br w:type="page"/>
      </w:r>
    </w:p>
    <w:tbl>
      <w:tblPr>
        <w:tblW w:w="14974" w:type="dxa"/>
        <w:jc w:val="left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0"/>
        <w:gridCol w:w="14947"/>
        <w:gridCol w:w="16"/>
      </w:tblGrid>
      <w:tr>
        <w:trPr/>
        <w:tc>
          <w:tcPr>
            <w:tcW w:w="14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pageBreakBefore/>
              <w:widowControl w:val="false"/>
              <w:spacing w:before="0" w:after="0"/>
              <w:rPr/>
            </w:pPr>
            <w:r>
              <w:rPr>
                <w:rStyle w:val="Strong"/>
                <w:rFonts w:ascii="Arial" w:hAnsi="Arial"/>
                <w:sz w:val="40"/>
                <w:szCs w:val="40"/>
              </w:rPr>
              <w:t>Sous critère 1- Adéquation de la prestation avec les objectifs qualitatifs de la Ville : 23 points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0033" w:hRule="atLeast"/>
        </w:trPr>
        <w:tc>
          <w:tcPr>
            <w:tcW w:w="14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1" w:noVBand="1" w:lastRow="0" w:firstColumn="1" w:lastColumn="0" w:noHBand="0" w:val="04a0"/>
            </w:tblPr>
            <w:tblGrid>
              <w:gridCol w:w="14847"/>
            </w:tblGrid>
            <w:tr>
              <w:trPr/>
              <w:tc>
                <w:tcPr>
                  <w:tcW w:w="14847" w:type="dxa"/>
                  <w:tcBorders/>
                </w:tcPr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I– Optimisation de la qualité des produits des repas de substitution : 13 points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</w:rPr>
                  </w:pPr>
                  <w:r>
                    <w:rPr>
                      <w:rFonts w:eastAsia="Arial" w:cs="Century Gothic"/>
                      <w:b/>
                      <w:bCs/>
                      <w:color w:val="000000"/>
                      <w:sz w:val="40"/>
                      <w:szCs w:val="40"/>
                      <w:u w:val="single"/>
                    </w:rPr>
                    <w:t>Qualité des produits jugée à partir de l’analyse des fiches techniques de produits fournies par le candidat : seront appréciés la qualité nutritionnelle des produits présentés et le pourcentage de label et de certification</w:t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</w:tc>
            </w:tr>
            <w:tr>
              <w:trPr>
                <w:trHeight w:val="7473" w:hRule="atLeast"/>
              </w:trPr>
              <w:tc>
                <w:tcPr>
                  <w:tcW w:w="14847" w:type="dxa"/>
                  <w:tcBorders/>
                </w:tcPr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</w:tc>
            </w:tr>
            <w:tr>
              <w:trPr>
                <w:trHeight w:val="617" w:hRule="atLeast"/>
              </w:trPr>
              <w:tc>
                <w:tcPr>
                  <w:tcW w:w="14847" w:type="dxa"/>
                  <w:tcBorders/>
                </w:tcPr>
                <w:p>
                  <w:pPr>
                    <w:pStyle w:val="Contenudetableauuser"/>
                    <w:widowControl w:val="false"/>
                    <w:numPr>
                      <w:ilvl w:val="0"/>
                      <w:numId w:val="0"/>
                    </w:numPr>
                    <w:ind w:hanging="0" w:left="720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II– Élaboration des menus pour les repas de substitution et autres prestations spécifiques 10 points :</w:t>
                  </w:r>
                </w:p>
                <w:p>
                  <w:pPr>
                    <w:pStyle w:val="Contenudetableauuser"/>
                    <w:widowControl w:val="false"/>
                    <w:ind w:hanging="0" w:left="720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Item 1 : Élaboration des menus 7 points</w:t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overflowPunct w:val="false"/>
                    <w:spacing w:lineRule="auto" w:line="252" w:before="0" w:after="160"/>
                    <w:jc w:val="both"/>
                    <w:rPr>
                      <w:rFonts w:eastAsia="Andale Sans UI"/>
                      <w:color w:val="00000A"/>
                      <w:kern w:val="0"/>
                      <w:sz w:val="40"/>
                      <w:szCs w:val="40"/>
                      <w:lang w:eastAsia="ja-JP" w:bidi="fa-IR"/>
                    </w:rPr>
                  </w:pPr>
                  <w:r>
                    <w:rPr>
                      <w:rFonts w:eastAsia="Arial"/>
                      <w:b/>
                      <w:bCs/>
                      <w:color w:val="000000"/>
                      <w:kern w:val="0"/>
                      <w:sz w:val="40"/>
                      <w:szCs w:val="40"/>
                      <w:lang w:eastAsia="ja-JP" w:bidi="fa-IR"/>
                    </w:rPr>
                    <w:t>Item 2 : Structuration des autres prestations spécifiques 3 points</w:t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</w:tc>
            </w:tr>
            <w:tr>
              <w:trPr>
                <w:trHeight w:val="8997" w:hRule="atLeast"/>
              </w:trPr>
              <w:tc>
                <w:tcPr>
                  <w:tcW w:w="14847" w:type="dxa"/>
                  <w:tcBorders/>
                </w:tcPr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</w:tc>
            </w:tr>
          </w:tbl>
          <w:p>
            <w:pPr>
              <w:pStyle w:val="Contenudetableauuser"/>
              <w:widowControl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0" w:type="dxa"/>
            <w:tcBorders/>
          </w:tcPr>
          <w:p>
            <w:pPr>
              <w:pStyle w:val="Heading1"/>
              <w:widowControl w:val="false"/>
              <w:numPr>
                <w:ilvl w:val="0"/>
                <w:numId w:val="0"/>
              </w:numPr>
              <w:ind w:hanging="0" w:left="0"/>
              <w:rPr>
                <w:rStyle w:val="BookTitle"/>
                <w:rFonts w:ascii="Arial" w:hAnsi="Arial" w:eastAsia="SimSun" w:cs="Arial"/>
                <w:color w:val="00000A"/>
                <w:kern w:val="0"/>
                <w:sz w:val="40"/>
                <w:szCs w:val="40"/>
                <w:lang w:bidi="hi-IN"/>
              </w:rPr>
            </w:pPr>
            <w:r>
              <w:rPr>
                <w:rFonts w:eastAsia="SimSun" w:cs="Arial" w:ascii="Arial" w:hAnsi="Arial"/>
                <w:color w:val="00000A"/>
                <w:kern w:val="0"/>
                <w:sz w:val="40"/>
                <w:szCs w:val="40"/>
                <w:lang w:bidi="hi-IN"/>
              </w:rPr>
            </w:r>
          </w:p>
        </w:tc>
        <w:tc>
          <w:tcPr>
            <w:tcW w:w="14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center"/>
          </w:tcPr>
          <w:p>
            <w:pPr>
              <w:pStyle w:val="Heading1"/>
              <w:widowControl w:val="false"/>
              <w:numPr>
                <w:ilvl w:val="0"/>
                <w:numId w:val="0"/>
              </w:numPr>
              <w:ind w:hanging="0" w:left="0"/>
              <w:rPr/>
            </w:pPr>
            <w:r>
              <w:rPr>
                <w:rStyle w:val="BookTitle"/>
                <w:rFonts w:eastAsia="SimSun" w:cs="Arial" w:ascii="Arial" w:hAnsi="Arial"/>
                <w:color w:val="00000A"/>
                <w:kern w:val="0"/>
                <w:sz w:val="40"/>
                <w:szCs w:val="40"/>
                <w:lang w:bidi="hi-IN"/>
              </w:rPr>
              <w:t xml:space="preserve">Sous critère 2 </w:t>
            </w:r>
            <w:r>
              <w:rPr>
                <w:rStyle w:val="BookTitle"/>
                <w:rFonts w:eastAsia="SimSun"/>
                <w:b w:val="false"/>
                <w:color w:val="00000A"/>
                <w:kern w:val="0"/>
                <w:sz w:val="40"/>
                <w:szCs w:val="40"/>
                <w:lang w:bidi="hi-IN"/>
              </w:rPr>
              <w:t xml:space="preserve">– </w:t>
            </w:r>
            <w:r>
              <w:rPr>
                <w:b/>
                <w:sz w:val="40"/>
                <w:szCs w:val="40"/>
              </w:rPr>
              <w:t>COHÉRENCE DES MOYENS MIS EN ŒUVRE POUR L’ÉLABORATION DES MENUS, LA FOURNITURE ET LA LIVRAISON DES REPAS DE SUBSTITUTION  21 points</w:t>
            </w:r>
          </w:p>
          <w:p>
            <w:pPr>
              <w:pStyle w:val="BodyText"/>
              <w:widowControl w:val="false"/>
              <w:jc w:val="left"/>
              <w:rPr/>
            </w:pPr>
            <w:r>
              <w:rPr/>
            </w:r>
          </w:p>
        </w:tc>
      </w:tr>
      <w:tr>
        <w:trPr>
          <w:trHeight w:val="9183" w:hRule="atLeast"/>
        </w:trPr>
        <w:tc>
          <w:tcPr>
            <w:tcW w:w="1497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1" w:noVBand="1" w:lastRow="0" w:firstColumn="1" w:lastColumn="0" w:noHBand="0" w:val="04a0"/>
            </w:tblPr>
            <w:tblGrid>
              <w:gridCol w:w="14864"/>
            </w:tblGrid>
            <w:tr>
              <w:trPr/>
              <w:tc>
                <w:tcPr>
                  <w:tcW w:w="14864" w:type="dxa"/>
                  <w:tcBorders/>
                </w:tcPr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I- Qualité et cohérence des moyens matériels et logistiques mis en œuvre pour assurer la disponibilité des repas de substitution, leur conformité et leur livraison dans les délais indiqués 17 points</w:t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Item 1 :  Qualité de la prise en charge d’une commande depuis la création de la commande jusqu’à son règlement y compris la gestion des réclamations, et des échanges 3 points</w:t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Item 2 :  Qualité des moyens logistiques opérationnels :  Processus de livraison = présentation de la logistique opérationnelle de la fabrication à de la livraison des repas de substitution 3 points</w:t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Item 3 : Mise en œuvre des procédures en terme d’hygiène et de sécurité alimentaire avec éviction des protéines de lait de vache 7 points</w:t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Item 4 : gestion des commandes des menus de secours 1 points</w:t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Item 5 : Gestion des modalités de continuité du service public 3 points</w:t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</w:tc>
            </w:tr>
            <w:tr>
              <w:trPr>
                <w:trHeight w:val="6797" w:hRule="atLeast"/>
              </w:trPr>
              <w:tc>
                <w:tcPr>
                  <w:tcW w:w="14864" w:type="dxa"/>
                  <w:tcBorders/>
                </w:tcPr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</w:r>
                </w:p>
              </w:tc>
            </w:tr>
            <w:tr>
              <w:trPr/>
              <w:tc>
                <w:tcPr>
                  <w:tcW w:w="14864" w:type="dxa"/>
                  <w:tcBorders/>
                </w:tcPr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II - Proposition concernant la communication et le suivi du marché 4 points</w:t>
                  </w:r>
                </w:p>
                <w:p>
                  <w:pPr>
                    <w:pStyle w:val="Contenudetableauuser"/>
                    <w:widowControl w:val="false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Item 1 : Processus de communication avec la Ville 2 points</w:t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  <w:p>
                  <w:pPr>
                    <w:pStyle w:val="Contenudetableauuser"/>
                    <w:widowControl w:val="false"/>
                    <w:jc w:val="both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</w:r>
                </w:p>
              </w:tc>
            </w:tr>
          </w:tbl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color w:val="000000"/>
                <w:sz w:val="40"/>
                <w:szCs w:val="40"/>
              </w:rPr>
            </w:pPr>
            <w:r>
              <w:rPr>
                <w:color w:val="000000"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Contenudetableauuser"/>
              <w:widowControl w:val="false"/>
              <w:snapToGrid w:val="false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Item 2 : Modalités de reporting à la Ville 2 points</w:t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</w:tc>
      </w:tr>
      <w:tr>
        <w:trPr>
          <w:trHeight w:val="783" w:hRule="atLeast"/>
        </w:trPr>
        <w:tc>
          <w:tcPr>
            <w:tcW w:w="10" w:type="dxa"/>
            <w:tcBorders/>
          </w:tcPr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</w:tc>
        <w:tc>
          <w:tcPr>
            <w:tcW w:w="149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Contenudetableauuser"/>
              <w:widowControl w:val="false"/>
              <w:snapToGrid w:val="false"/>
              <w:jc w:val="both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</w:tc>
      </w:tr>
    </w:tbl>
    <w:p>
      <w:pPr>
        <w:pStyle w:val="Normal"/>
        <w:textAlignment w:val="center"/>
        <w:rPr/>
      </w:pPr>
      <w:r>
        <w:rPr/>
      </w:r>
    </w:p>
    <w:p>
      <w:pPr>
        <w:pStyle w:val="Normal"/>
        <w:textAlignment w:val="center"/>
        <w:rPr>
          <w:rFonts w:ascii="Arial" w:hAnsi="Arial" w:cs="Arial" w:asciiTheme="majorHAnsi" w:cstheme="majorHAnsi" w:hAnsiTheme="majorHAnsi"/>
          <w:sz w:val="40"/>
          <w:szCs w:val="40"/>
        </w:rPr>
      </w:pPr>
      <w:r>
        <w:rPr>
          <w:rFonts w:cs="Arial" w:cstheme="majorHAnsi" w:ascii="Arial" w:hAnsi="Arial"/>
          <w:sz w:val="40"/>
          <w:szCs w:val="40"/>
        </w:rPr>
      </w:r>
    </w:p>
    <w:tbl>
      <w:tblPr>
        <w:tblW w:w="14963" w:type="dxa"/>
        <w:jc w:val="left"/>
        <w:tblInd w:w="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4963"/>
      </w:tblGrid>
      <w:tr>
        <w:trPr/>
        <w:tc>
          <w:tcPr>
            <w:tcW w:w="14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textAlignment w:val="center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cs="Arial" w:cstheme="majorHAnsi"/>
                <w:b/>
                <w:bCs/>
                <w:sz w:val="40"/>
                <w:szCs w:val="40"/>
              </w:rPr>
              <w:t>3 –</w:t>
            </w:r>
            <w:r>
              <w:rPr>
                <w:rFonts w:eastAsia="Arial" w:cs="Arial"/>
                <w:b/>
                <w:bCs/>
                <w:color w:val="000000"/>
                <w:sz w:val="40"/>
                <w:szCs w:val="40"/>
                <w:u w:val="single"/>
                <w:shd w:fill="auto" w:val="clear"/>
              </w:rPr>
              <w:t xml:space="preserve">Valeur </w:t>
            </w:r>
            <w:r>
              <w:rPr>
                <w:rFonts w:eastAsia="Arial" w:cs="Liberation Serif"/>
                <w:b/>
                <w:bCs/>
                <w:color w:val="000000"/>
                <w:sz w:val="40"/>
                <w:szCs w:val="40"/>
                <w:u w:val="single"/>
                <w:shd w:fill="auto" w:val="clear"/>
              </w:rPr>
              <w:t>Performance en matière environnementale</w:t>
            </w:r>
            <w:r>
              <w:rPr>
                <w:rFonts w:eastAsia="Arial" w:cs="Arial"/>
                <w:b/>
                <w:bCs/>
                <w:color w:val="000000"/>
                <w:sz w:val="40"/>
                <w:szCs w:val="40"/>
                <w:u w:val="single"/>
                <w:shd w:fill="auto" w:val="clear"/>
              </w:rPr>
              <w:t xml:space="preserve"> : </w:t>
            </w:r>
            <w:r>
              <w:rPr>
                <w:rFonts w:eastAsia="Arial" w:cs="Liberation Serif"/>
                <w:b/>
                <w:bCs/>
                <w:color w:val="000000"/>
                <w:sz w:val="40"/>
                <w:szCs w:val="40"/>
                <w:u w:val="single"/>
                <w:shd w:fill="auto" w:val="clear"/>
              </w:rPr>
              <w:t>La performance en matière environnementale sera évaluée à partir du mémoire technique remis par le candidat, la note maximum est de 16 points.</w:t>
            </w:r>
          </w:p>
        </w:tc>
      </w:tr>
      <w:tr>
        <w:trPr>
          <w:trHeight w:val="9183" w:hRule="atLeast"/>
        </w:trPr>
        <w:tc>
          <w:tcPr>
            <w:tcW w:w="14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1" w:noVBand="1" w:lastRow="0" w:firstColumn="1" w:lastColumn="0" w:noHBand="0" w:val="04a0"/>
            </w:tblPr>
            <w:tblGrid>
              <w:gridCol w:w="14853"/>
            </w:tblGrid>
            <w:tr>
              <w:trPr/>
              <w:tc>
                <w:tcPr>
                  <w:tcW w:w="14853" w:type="dxa"/>
                  <w:tcBorders/>
                </w:tcPr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 xml:space="preserve">SC1 </w:t>
                  </w:r>
                  <w:r>
                    <w:rPr>
                      <w:b/>
                      <w:color w:val="000000"/>
                      <w:sz w:val="40"/>
                      <w:szCs w:val="40"/>
                    </w:rPr>
                    <w:t>Proposition en matière de protection de l’environnement pour les approvisionnements en repas de substitution : 6 points</w:t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 xml:space="preserve">Item 1 : </w:t>
                  </w:r>
                  <w:r>
                    <w:rPr>
                      <w:b/>
                      <w:color w:val="000000"/>
                      <w:sz w:val="40"/>
                      <w:szCs w:val="40"/>
                    </w:rPr>
                    <w:t>s</w:t>
                  </w: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  <w:t>aisonnalité et diversité des fruits et légumes présent dans les repas de substitution 2 points</w:t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BodyText"/>
                    <w:widowControl w:val="false"/>
                    <w:spacing w:lineRule="auto" w:line="252" w:before="0" w:after="160"/>
                    <w:ind w:hanging="142" w:left="313"/>
                    <w:rPr>
                      <w:b/>
                      <w:bCs/>
                      <w:color w:val="333333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color w:val="333333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40"/>
                      <w:szCs w:val="4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Item 2 : Description des approvisionnements en produits issus de l’agriculture durable dans les repas de substitution 4 points : voir annexe au présent mémoire technique</w:t>
            </w:r>
          </w:p>
          <w:p>
            <w:pPr>
              <w:pStyle w:val="Normal"/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 candidat doit privilégier dans sa politique d’approvisionnement en denrées le recours aux produits issus de l’agriculture durable.</w:t>
            </w:r>
          </w:p>
          <w:p>
            <w:pPr>
              <w:pStyle w:val="Normal"/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Ainsi, le candidat doit  présenter son optimisation en terme de 20% d’intégration de produits issus de produits biologiques (en valeur d’achat des approvisionnements).</w:t>
            </w:r>
          </w:p>
          <w:p>
            <w:pPr>
              <w:pStyle w:val="Normal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</w:r>
          </w:p>
          <w:p>
            <w:pPr>
              <w:pStyle w:val="Normal"/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 candidat complète le tableau annexé au mémoire technique présentant pour l’ensemble des producteurs pré-identifiés :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 nom du producteur,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La typologie de produits par producteur,</w:t>
            </w:r>
          </w:p>
          <w:p>
            <w:pPr>
              <w:pStyle w:val="ListParagraph"/>
              <w:numPr>
                <w:ilvl w:val="0"/>
                <w:numId w:val="0"/>
              </w:numPr>
              <w:ind w:hanging="0" w:left="0"/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 nombre d’intermédiaires entre le producteur et le fournisseur,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L’identification du(des) intermédiaire(s).</w:t>
            </w:r>
          </w:p>
          <w:p>
            <w:pPr>
              <w:pStyle w:val="Normal"/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 candidat complète le tableau annexé  au mémoire technique présentant pour l’ensemble des familles de produits suivantes leur origine géographique (à détailler : Département / Région / France / Pays UE ou hors UE) :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Les fruits,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Les légumes,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Les légumineuses,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Les céréales,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Les pommes de terre,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La viande bovine,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La volaille,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La viande ovine,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Les poissons,</w:t>
            </w:r>
          </w:p>
          <w:p>
            <w:pPr>
              <w:pStyle w:val="ListParagraph"/>
              <w:numPr>
                <w:ilvl w:val="0"/>
                <w:numId w:val="0"/>
              </w:numPr>
              <w:ind w:hanging="0" w:left="720"/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 candidat présente sa démarche en terme de respect du bien-être animal.</w:t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783" w:hRule="atLeast"/>
        </w:trPr>
        <w:tc>
          <w:tcPr>
            <w:tcW w:w="14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widowControl w:val="false"/>
              <w:spacing w:lineRule="auto" w:line="252" w:before="0" w:after="160"/>
              <w:ind w:hanging="142" w:left="313"/>
              <w:rPr>
                <w:sz w:val="40"/>
                <w:szCs w:val="40"/>
              </w:rPr>
            </w:pPr>
            <w:r>
              <w:rPr>
                <w:rFonts w:eastAsia="Andale Sans UI"/>
                <w:b/>
                <w:bCs/>
                <w:kern w:val="0"/>
                <w:sz w:val="40"/>
                <w:szCs w:val="40"/>
                <w:lang w:eastAsia="ja-JP" w:bidi="fa-IR"/>
              </w:rPr>
              <w:t>SC2</w:t>
            </w:r>
            <w:r>
              <w:rPr>
                <w:b/>
                <w:bCs/>
                <w:sz w:val="40"/>
                <w:szCs w:val="40"/>
              </w:rPr>
              <w:t>Mise en œuvre des objectifs de développement durable pour l’approvisionnement en repas de substitution, le conditionnement et le transport 10 points</w:t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  <w:t>Item 1 : Description des approvisionnements en produits issus de l’agriculture biologique dans les repas de substitution 4 points : voir annexe au présent mémoire technique</w:t>
            </w:r>
          </w:p>
          <w:p>
            <w:pPr>
              <w:pStyle w:val="Normal"/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 candidat présente ses engagements d’approvisionnement en produits issus de l’agriculture biologique et identifie, pour chacun de ces trois seuils, en complétant le tableau annexé au mémoire technique :</w:t>
            </w:r>
          </w:p>
          <w:p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Les fournisseurs pré-identifiés à date,</w:t>
            </w:r>
          </w:p>
          <w:p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Les produits concernés,</w:t>
            </w:r>
          </w:p>
          <w:p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La répartition par produit sur le % total (en valeur d’achat des approvisionnements).</w:t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  <w:t>Item 2 : Proposition des produits ayant des signes de qualité (hors AB) dans les repas de substitution 3</w:t>
            </w:r>
            <w:bookmarkStart w:id="0" w:name="_GoBack"/>
            <w:bookmarkEnd w:id="0"/>
            <w:r>
              <w:rPr>
                <w:rFonts w:eastAsia="Arial" w:cs="Arial"/>
                <w:b/>
                <w:bCs/>
                <w:sz w:val="40"/>
                <w:szCs w:val="40"/>
              </w:rPr>
              <w:t xml:space="preserve"> points : voir annexe au présent mémoire technique</w:t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 xml:space="preserve">Le candidat présente son niveau d’engagement concernant l’intégration de produits présentant les signes de qualité suivants, en complétant le tableau annexé au mémoire technique </w:t>
            </w:r>
            <w:r>
              <w:rPr>
                <w:rFonts w:eastAsia="Arial" w:cs="Arial"/>
                <w:b/>
                <w:bCs/>
                <w:strike/>
                <w:color w:val="000000"/>
                <w:sz w:val="40"/>
                <w:szCs w:val="40"/>
              </w:rPr>
              <w:t>:</w:t>
            </w:r>
          </w:p>
          <w:p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produits bénéficiant des signes officiels de qualité et/ou d’origine suivants :</w:t>
            </w:r>
            <w:r>
              <w:rPr>
                <w:rFonts w:eastAsia="Arial" w:cs="Liberation Serif"/>
                <w:b/>
                <w:bCs/>
                <w:color w:val="000000"/>
                <w:sz w:val="40"/>
                <w:szCs w:val="40"/>
              </w:rPr>
              <w:t>Label Rouge, label Bleu blanc cœur, Appellation d’origine (AOP / AOC), Indication géographique protégée (IGP), Spécialité Traditionnelle Garantie (STG),</w:t>
            </w:r>
          </w:p>
          <w:p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40"/>
                <w:szCs w:val="40"/>
              </w:rPr>
            </w:pPr>
            <w:r>
              <w:rPr>
                <w:rFonts w:eastAsia="Arial" w:cs="Liberation Serif"/>
                <w:b/>
                <w:bCs/>
                <w:color w:val="000000"/>
                <w:sz w:val="40"/>
                <w:szCs w:val="40"/>
              </w:rPr>
              <w:t>Produits « fermiers » ou « produits de la ferme », uniquement pour les produits pour lesquels il existe une définition réglementaire des conditions de production,</w:t>
            </w:r>
            <w:r>
              <w:rPr>
                <w:rFonts w:eastAsia="Arial" w:cs="Arial"/>
                <w:b/>
                <w:bCs/>
                <w:color w:val="000000"/>
                <w:sz w:val="40"/>
                <w:szCs w:val="40"/>
              </w:rPr>
              <w:t>,</w:t>
            </w:r>
          </w:p>
          <w:p>
            <w:pPr>
              <w:pStyle w:val="Normal"/>
              <w:numPr>
                <w:ilvl w:val="0"/>
                <w:numId w:val="3"/>
              </w:numPr>
              <w:spacing w:before="0" w:after="71"/>
              <w:rPr>
                <w:b/>
                <w:bCs/>
                <w:sz w:val="40"/>
                <w:szCs w:val="40"/>
              </w:rPr>
            </w:pPr>
            <w:r>
              <w:rPr>
                <w:rFonts w:cs="Liberation Serif"/>
                <w:b/>
                <w:bCs/>
                <w:sz w:val="40"/>
                <w:szCs w:val="40"/>
              </w:rPr>
              <w:t>Produits bénéficiant de la mention valorisante suivante : « Haute Valeur Environnementale » (HVE),</w:t>
            </w:r>
          </w:p>
          <w:p>
            <w:pPr>
              <w:pStyle w:val="Normal"/>
              <w:numPr>
                <w:ilvl w:val="0"/>
                <w:numId w:val="3"/>
              </w:numPr>
              <w:spacing w:before="0" w:after="71"/>
              <w:rPr>
                <w:b/>
                <w:bCs/>
                <w:sz w:val="40"/>
                <w:szCs w:val="40"/>
              </w:rPr>
            </w:pPr>
            <w:r>
              <w:rPr>
                <w:rFonts w:cs="Liberation Serif"/>
                <w:b/>
                <w:bCs/>
                <w:sz w:val="40"/>
                <w:szCs w:val="40"/>
              </w:rPr>
              <w:t>Produits issus de la pêche affichant l’écolabel pêche durable,</w:t>
            </w:r>
          </w:p>
          <w:p>
            <w:pPr>
              <w:pStyle w:val="Normal"/>
              <w:numPr>
                <w:ilvl w:val="0"/>
                <w:numId w:val="3"/>
              </w:numPr>
              <w:spacing w:before="0" w:after="71"/>
              <w:rPr>
                <w:b/>
                <w:bCs/>
                <w:sz w:val="40"/>
                <w:szCs w:val="40"/>
              </w:rPr>
            </w:pPr>
            <w:r>
              <w:rPr>
                <w:rFonts w:cs="Liberation Serif"/>
                <w:b/>
                <w:bCs/>
                <w:sz w:val="40"/>
                <w:szCs w:val="40"/>
              </w:rPr>
              <w:t>Produits au logo « Région Ultra- Périphérique » (pour produits d’Outre-Mer),</w:t>
            </w:r>
          </w:p>
          <w:p>
            <w:pPr>
              <w:pStyle w:val="Normal"/>
              <w:numPr>
                <w:ilvl w:val="0"/>
                <w:numId w:val="3"/>
              </w:numPr>
              <w:spacing w:before="0" w:after="71"/>
              <w:rPr>
                <w:b/>
                <w:bCs/>
                <w:sz w:val="40"/>
                <w:szCs w:val="40"/>
              </w:rPr>
            </w:pPr>
            <w:r>
              <w:rPr>
                <w:rFonts w:cs="Liberation Serif"/>
                <w:b/>
                <w:bCs/>
                <w:sz w:val="40"/>
                <w:szCs w:val="40"/>
              </w:rPr>
              <w:t>Produits issus du commerce équitable,</w:t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rFonts w:eastAsia="Arial" w:cs="Arial"/>
                <w:b/>
                <w:bCs/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</w:r>
          </w:p>
          <w:p>
            <w:pPr>
              <w:pStyle w:val="Normal"/>
              <w:widowControl w:val="false"/>
              <w:rPr>
                <w:sz w:val="40"/>
                <w:szCs w:val="40"/>
              </w:rPr>
            </w:pPr>
            <w:r>
              <w:rPr>
                <w:rFonts w:eastAsia="Arial" w:cs="Arial"/>
                <w:b/>
                <w:bCs/>
                <w:sz w:val="40"/>
                <w:szCs w:val="40"/>
              </w:rPr>
              <w:t>Item 3 : Conditionnement et mode de transport des repas de substitution 3 points</w:t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before="120" w:after="0"/>
              <w:jc w:val="both"/>
              <w:rPr>
                <w:rFonts w:eastAsia="Andale Sans UI"/>
                <w:color w:val="00000A"/>
                <w:kern w:val="0"/>
                <w:sz w:val="40"/>
                <w:szCs w:val="40"/>
                <w:lang w:eastAsia="ja-JP" w:bidi="fa-IR"/>
              </w:rPr>
            </w:pPr>
            <w:r>
              <w:rPr>
                <w:rFonts w:eastAsia="Andale Sans UI"/>
                <w:color w:val="00000A"/>
                <w:kern w:val="0"/>
                <w:sz w:val="40"/>
                <w:szCs w:val="40"/>
                <w:lang w:eastAsia="ja-JP" w:bidi="fa-IR"/>
              </w:rPr>
            </w:r>
          </w:p>
          <w:p>
            <w:pPr>
              <w:pStyle w:val="Normal"/>
              <w:widowControl w:val="false"/>
              <w:overflowPunct w:val="false"/>
              <w:spacing w:lineRule="auto" w:line="252" w:before="0" w:after="160"/>
              <w:ind w:hanging="0" w:left="891"/>
              <w:jc w:val="both"/>
              <w:rPr>
                <w:rFonts w:ascii="Arial" w:hAnsi="Arial" w:eastAsia="Andale Sans UI" w:cs="Tahoma"/>
                <w:color w:val="00000A"/>
                <w:kern w:val="0"/>
                <w:lang w:eastAsia="ja-JP" w:bidi="fa-IR"/>
              </w:rPr>
            </w:pPr>
            <w:r>
              <w:rPr>
                <w:rFonts w:eastAsia="Andale Sans UI" w:cs="Tahoma" w:ascii="Arial" w:hAnsi="Arial"/>
                <w:color w:val="00000A"/>
                <w:kern w:val="0"/>
                <w:lang w:eastAsia="ja-JP" w:bidi="fa-IR"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textAlignment w:val="center"/>
        <w:rPr/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orient="landscape" w:w="16838" w:h="11906"/>
      <w:pgMar w:left="964" w:right="964" w:gutter="0" w:header="0" w:top="1163" w:footer="454" w:bottom="528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Eurostile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 w:cs="Arial"/>
        <w:b/>
        <w:sz w:val="24"/>
        <w:szCs w:val="24"/>
        <w:shd w:fill="FFFFFF" w:val="clear"/>
      </w:rPr>
    </w:pPr>
    <w:r>
      <w:rPr>
        <w:rFonts w:cs="Arial" w:ascii="Eurostile" w:hAnsi="Eurostile"/>
        <w:b/>
        <w:sz w:val="18"/>
        <w:szCs w:val="18"/>
        <w:shd w:fill="FFFFFF" w:val="clear"/>
      </w:rPr>
      <w:t xml:space="preserve">VILLE DE MARSEILLE  –  DGAPM - DPE </w:t>
      <w:tab/>
      <w:tab/>
      <w:tab/>
      <w:tab/>
      <w:tab/>
      <w:tab/>
      <w:tab/>
      <w:tab/>
      <w:tab/>
      <w:tab/>
      <w:tab/>
      <w:tab/>
    </w:r>
    <w:r>
      <w:rPr>
        <w:rFonts w:cs="Arial" w:ascii="Eurostile" w:hAnsi="Eurostile"/>
        <w:b/>
        <w:sz w:val="18"/>
        <w:szCs w:val="18"/>
        <w:shd w:fill="FFFFFF" w:val="clear"/>
      </w:rPr>
      <w:fldChar w:fldCharType="begin"/>
    </w:r>
    <w:r>
      <w:rPr>
        <w:sz w:val="18"/>
        <w:b/>
        <w:shd w:fill="FFFFFF" w:val="clear"/>
        <w:szCs w:val="18"/>
        <w:rFonts w:cs="Arial" w:ascii="Eurostile" w:hAnsi="Eurostile"/>
      </w:rPr>
      <w:instrText xml:space="preserve"> PAGE </w:instrText>
    </w:r>
    <w:r>
      <w:rPr>
        <w:sz w:val="18"/>
        <w:b/>
        <w:shd w:fill="FFFFFF" w:val="clear"/>
        <w:szCs w:val="18"/>
        <w:rFonts w:cs="Arial" w:ascii="Eurostile" w:hAnsi="Eurostile"/>
      </w:rPr>
      <w:fldChar w:fldCharType="separate"/>
    </w:r>
    <w:r>
      <w:rPr>
        <w:sz w:val="18"/>
        <w:b/>
        <w:shd w:fill="FFFFFF" w:val="clear"/>
        <w:szCs w:val="18"/>
        <w:rFonts w:cs="Arial" w:ascii="Eurostile" w:hAnsi="Eurostile"/>
      </w:rPr>
      <w:t>27</w:t>
    </w:r>
    <w:r>
      <w:rPr>
        <w:sz w:val="18"/>
        <w:b/>
        <w:shd w:fill="FFFFFF" w:val="clear"/>
        <w:szCs w:val="18"/>
        <w:rFonts w:cs="Arial" w:ascii="Eurostile" w:hAnsi="Eurostile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 w:cs="Arial"/>
        <w:b/>
        <w:sz w:val="24"/>
        <w:szCs w:val="24"/>
        <w:shd w:fill="FFFFFF" w:val="clear"/>
      </w:rPr>
    </w:pPr>
    <w:r>
      <w:rPr>
        <w:rFonts w:cs="Arial" w:ascii="Eurostile" w:hAnsi="Eurostile"/>
        <w:b/>
        <w:sz w:val="18"/>
        <w:szCs w:val="18"/>
        <w:shd w:fill="FFFFFF" w:val="clear"/>
      </w:rPr>
      <w:t xml:space="preserve">VILLE DE MARSEILLE  –  DGAPM - DPE </w:t>
      <w:tab/>
      <w:tab/>
      <w:tab/>
      <w:tab/>
      <w:tab/>
      <w:tab/>
      <w:tab/>
      <w:tab/>
      <w:tab/>
      <w:tab/>
      <w:tab/>
      <w:tab/>
    </w:r>
    <w:r>
      <w:rPr>
        <w:rFonts w:cs="Arial" w:ascii="Eurostile" w:hAnsi="Eurostile"/>
        <w:b/>
        <w:sz w:val="18"/>
        <w:szCs w:val="18"/>
        <w:shd w:fill="FFFFFF" w:val="clear"/>
      </w:rPr>
      <w:fldChar w:fldCharType="begin"/>
    </w:r>
    <w:r>
      <w:rPr>
        <w:sz w:val="18"/>
        <w:b/>
        <w:shd w:fill="FFFFFF" w:val="clear"/>
        <w:szCs w:val="18"/>
        <w:rFonts w:cs="Arial" w:ascii="Eurostile" w:hAnsi="Eurostile"/>
      </w:rPr>
      <w:instrText xml:space="preserve"> PAGE </w:instrText>
    </w:r>
    <w:r>
      <w:rPr>
        <w:sz w:val="18"/>
        <w:b/>
        <w:shd w:fill="FFFFFF" w:val="clear"/>
        <w:szCs w:val="18"/>
        <w:rFonts w:cs="Arial" w:ascii="Eurostile" w:hAnsi="Eurostile"/>
      </w:rPr>
      <w:fldChar w:fldCharType="separate"/>
    </w:r>
    <w:r>
      <w:rPr>
        <w:sz w:val="18"/>
        <w:b/>
        <w:shd w:fill="FFFFFF" w:val="clear"/>
        <w:szCs w:val="18"/>
        <w:rFonts w:cs="Arial" w:ascii="Eurostile" w:hAnsi="Eurostile"/>
      </w:rPr>
      <w:t>27</w:t>
    </w:r>
    <w:r>
      <w:rPr>
        <w:sz w:val="18"/>
        <w:b/>
        <w:shd w:fill="FFFFFF" w:val="clear"/>
        <w:szCs w:val="18"/>
        <w:rFonts w:cs="Arial" w:ascii="Eurostile" w:hAnsi="Eurostile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59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fr-FR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/>
  </w:style>
  <w:style w:type="paragraph" w:styleId="Heading2">
    <w:name w:val="heading 2"/>
    <w:basedOn w:val="Title"/>
    <w:next w:val="BodyText"/>
    <w:qFormat/>
    <w:pPr>
      <w:outlineLvl w:val="1"/>
    </w:pPr>
    <w:rPr>
      <w:rFonts w:eastAsia="Tahoma"/>
      <w:b/>
      <w:bCs/>
      <w:sz w:val="36"/>
      <w:szCs w:val="36"/>
    </w:rPr>
  </w:style>
  <w:style w:type="paragraph" w:styleId="Heading3">
    <w:name w:val="heading 3"/>
    <w:basedOn w:val="Title"/>
    <w:next w:val="BodyText"/>
    <w:qFormat/>
    <w:pPr>
      <w:outlineLvl w:val="2"/>
    </w:pPr>
    <w:rPr>
      <w:rFonts w:eastAsia="Tahoma"/>
      <w:b/>
      <w:bCs/>
      <w:sz w:val="28"/>
      <w:szCs w:val="28"/>
    </w:rPr>
  </w:style>
  <w:style w:type="paragraph" w:styleId="Heading4">
    <w:name w:val="heading 4"/>
    <w:basedOn w:val="Title"/>
    <w:next w:val="BodyText"/>
    <w:qFormat/>
    <w:pPr>
      <w:outlineLvl w:val="3"/>
    </w:pPr>
    <w:rPr>
      <w:rFonts w:eastAsia="Tahoma"/>
      <w:b/>
      <w:bCs/>
      <w:sz w:val="24"/>
      <w:szCs w:val="24"/>
    </w:rPr>
  </w:style>
  <w:style w:type="paragraph" w:styleId="Heading5">
    <w:name w:val="heading 5"/>
    <w:basedOn w:val="Title"/>
    <w:next w:val="BodyText"/>
    <w:qFormat/>
    <w:pPr>
      <w:outlineLvl w:val="4"/>
    </w:pPr>
    <w:rPr>
      <w:rFonts w:eastAsia="Tahoma"/>
      <w:b/>
      <w:bCs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3z0" w:customStyle="1">
    <w:name w:val="WW8Num3z0"/>
    <w:qFormat/>
    <w:rPr>
      <w:rFonts w:ascii="Wingdings" w:hAnsi="Wingdings" w:cs="Wingdings"/>
    </w:rPr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5z0" w:customStyle="1">
    <w:name w:val="WW8Num5z0"/>
    <w:qFormat/>
    <w:rPr>
      <w:rFonts w:ascii="Wingdings" w:hAnsi="Wingdings" w:cs="Wingdings"/>
    </w:rPr>
  </w:style>
  <w:style w:type="character" w:styleId="WW8Num6z0" w:customStyle="1">
    <w:name w:val="WW8Num6z0"/>
    <w:qFormat/>
    <w:rPr>
      <w:rFonts w:ascii="Symbol" w:hAnsi="Symbol" w:cs="Symbol"/>
      <w:sz w:val="24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7z0" w:customStyle="1">
    <w:name w:val="WW8Num7z0"/>
    <w:qFormat/>
    <w:rPr>
      <w:rFonts w:ascii="Symbol" w:hAnsi="Symbol" w:cs="Symbol"/>
      <w:sz w:val="24"/>
    </w:rPr>
  </w:style>
  <w:style w:type="character" w:styleId="WW-Policepardfaut" w:customStyle="1">
    <w:name w:val="WW-Police par défaut"/>
    <w:qFormat/>
    <w:rPr/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9z0" w:customStyle="1">
    <w:name w:val="WW8Num9z0"/>
    <w:qFormat/>
    <w:rPr>
      <w:rFonts w:ascii="Wingdings" w:hAnsi="Wingdings" w:cs="Wingdings"/>
    </w:rPr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Symbol" w:hAnsi="Symbol" w:cs="Symbol"/>
    </w:rPr>
  </w:style>
  <w:style w:type="character" w:styleId="WW-Policepardfaut1" w:customStyle="1">
    <w:name w:val="WW-Police par défaut1"/>
    <w:qFormat/>
    <w:rPr/>
  </w:style>
  <w:style w:type="character" w:styleId="Bullets" w:customStyle="1">
    <w:name w:val="Bullets"/>
    <w:qFormat/>
    <w:rPr/>
  </w:style>
  <w:style w:type="character" w:styleId="FootnoteCharacters" w:customStyle="1">
    <w:name w:val="Footnote Characters"/>
    <w:qFormat/>
    <w:rPr/>
  </w:style>
  <w:style w:type="character" w:styleId="Caractresdenotedebasdepage" w:customStyle="1">
    <w:name w:val="Caractères de note de bas de page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rong">
    <w:name w:val="Strong"/>
    <w:qFormat/>
    <w:rPr>
      <w:b/>
      <w:bCs/>
    </w:rPr>
  </w:style>
  <w:style w:type="character" w:styleId="Caractresdenumrotation" w:customStyle="1">
    <w:name w:val="Caractères de numérotation"/>
    <w:qFormat/>
    <w:rPr/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5z1" w:customStyle="1">
    <w:name w:val="WW8Num5z1"/>
    <w:qFormat/>
    <w:rPr>
      <w:rFonts w:ascii="Courier New" w:hAnsi="Courier New" w:cs="Courier New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Titre2Car" w:customStyle="1">
    <w:name w:val="Titre 2 Car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Emphasis">
    <w:name w:val="Emphasis"/>
    <w:qFormat/>
    <w:rPr>
      <w:i/>
      <w:iCs/>
    </w:rPr>
  </w:style>
  <w:style w:type="character" w:styleId="BookTitle">
    <w:name w:val="Book Title"/>
    <w:basedOn w:val="DefaultParagraphFont"/>
    <w:qFormat/>
    <w:rPr>
      <w:b/>
      <w:bCs/>
      <w:smallCaps/>
      <w:spacing w:val="5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jc w:val="both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/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OC1">
    <w:name w:val="toc 1"/>
    <w:basedOn w:val="Normal"/>
    <w:next w:val="Normal"/>
    <w:pPr>
      <w:spacing w:before="120" w:after="120"/>
    </w:pPr>
    <w:rPr/>
  </w:style>
  <w:style w:type="paragraph" w:styleId="En-tteetpieddepageuser" w:customStyle="1">
    <w:name w:val="En-tête et pied de page (user)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xl24" w:customStyle="1">
    <w:name w:val="xl24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/>
  </w:style>
  <w:style w:type="paragraph" w:styleId="Contenudetableauuser" w:customStyle="1">
    <w:name w:val="Contenu de tableau (user)"/>
    <w:basedOn w:val="Normal"/>
    <w:qFormat/>
    <w:pPr>
      <w:suppressLineNumbers/>
    </w:pPr>
    <w:rPr/>
  </w:style>
  <w:style w:type="paragraph" w:styleId="Titredetableauuser" w:customStyle="1">
    <w:name w:val="Titre de tableau (user)"/>
    <w:basedOn w:val="Contenudetableauuser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fr-FR" w:eastAsia="zh-CN" w:bidi="ar-SA"/>
    </w:rPr>
  </w:style>
  <w:style w:type="paragraph" w:styleId="Contenuducadre" w:customStyle="1">
    <w:name w:val="Contenu du cadre"/>
    <w:basedOn w:val="BodyText"/>
    <w:qFormat/>
    <w:pPr/>
    <w:rPr/>
  </w:style>
  <w:style w:type="paragraph" w:styleId="FootnoteText">
    <w:name w:val="footnote text"/>
    <w:basedOn w:val="Normal"/>
    <w:pPr>
      <w:suppressLineNumbers/>
      <w:ind w:hanging="339" w:left="339"/>
    </w:pPr>
    <w:rPr/>
  </w:style>
  <w:style w:type="paragraph" w:styleId="TypeDocument3" w:customStyle="1">
    <w:name w:val="TypeDocument3"/>
    <w:basedOn w:val="BodyText"/>
    <w:qFormat/>
    <w:pPr>
      <w:jc w:val="center"/>
    </w:pPr>
    <w:rPr>
      <w:b/>
      <w:sz w:val="44"/>
    </w:rPr>
  </w:style>
  <w:style w:type="paragraph" w:styleId="BodyText3">
    <w:name w:val="Body Text 3"/>
    <w:basedOn w:val="Normal"/>
    <w:qFormat/>
    <w:pPr>
      <w:spacing w:before="60" w:after="0"/>
      <w:jc w:val="both"/>
    </w:pPr>
    <w:rPr>
      <w:sz w:val="28"/>
    </w:rPr>
  </w:style>
  <w:style w:type="paragraph" w:styleId="BodyText2">
    <w:name w:val="Body Text 2"/>
    <w:basedOn w:val="Normal"/>
    <w:qFormat/>
    <w:pPr/>
    <w:rPr>
      <w:rFonts w:ascii="Arial" w:hAnsi="Arial" w:cs="Arial"/>
    </w:rPr>
  </w:style>
  <w:style w:type="paragraph" w:styleId="Retraitcorpsdetexte21" w:customStyle="1">
    <w:name w:val="Retrait corps de texte 21"/>
    <w:basedOn w:val="Normal"/>
    <w:qFormat/>
    <w:pPr>
      <w:ind w:firstLine="851"/>
    </w:pPr>
    <w:rPr/>
  </w:style>
  <w:style w:type="paragraph" w:styleId="RTexte1" w:customStyle="1">
    <w:name w:val="R_Texte1"/>
    <w:basedOn w:val="Normal"/>
    <w:qFormat/>
    <w:pPr>
      <w:spacing w:before="120" w:after="120"/>
      <w:ind w:firstLine="1701"/>
      <w:jc w:val="both"/>
    </w:pPr>
    <w:rPr>
      <w:rFonts w:ascii="Arial" w:hAnsi="Arial"/>
      <w:lang w:eastAsia="fr-FR"/>
    </w:rPr>
  </w:style>
  <w:style w:type="paragraph" w:styleId="NormalItalique" w:customStyle="1">
    <w:name w:val="Normal Italique"/>
    <w:basedOn w:val="Normal"/>
    <w:qFormat/>
    <w:pPr>
      <w:keepNext w:val="true"/>
    </w:pPr>
    <w:rPr>
      <w:i/>
    </w:rPr>
  </w:style>
  <w:style w:type="paragraph" w:styleId="TitreCadre" w:customStyle="1">
    <w:name w:val="Titre + Cadre"/>
    <w:basedOn w:val="Normal"/>
    <w:qFormat/>
    <w:pPr>
      <w:jc w:val="center"/>
    </w:pPr>
    <w:rPr>
      <w:caps/>
      <w:sz w:val="40"/>
    </w:rPr>
  </w:style>
  <w:style w:type="paragraph" w:styleId="Normalitaliquecentr" w:customStyle="1">
    <w:name w:val="Normal italique centré"/>
    <w:basedOn w:val="Normal"/>
    <w:qFormat/>
    <w:pPr>
      <w:jc w:val="center"/>
    </w:pPr>
    <w:rPr>
      <w:i/>
    </w:rPr>
  </w:style>
  <w:style w:type="paragraph" w:styleId="CommentText">
    <w:name w:val="annotation text"/>
    <w:basedOn w:val="Normal"/>
    <w:qFormat/>
    <w:pPr/>
    <w:rPr/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TableauNormal1" w:customStyle="1">
    <w:name w:val="Tableau Normal1"/>
    <w:qFormat/>
    <w:pPr>
      <w:widowControl/>
      <w:suppressAutoHyphens w:val="true"/>
      <w:overflowPunct w:val="true"/>
      <w:bidi w:val="0"/>
      <w:spacing w:lineRule="auto" w:line="252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fr-FR" w:eastAsia="en-US" w:bidi="ar-SA"/>
    </w:rPr>
  </w:style>
  <w:style w:type="paragraph" w:styleId="ListParagraph">
    <w:name w:val="List Paragraph"/>
    <w:basedOn w:val="Normal"/>
    <w:qFormat/>
    <w:pPr>
      <w:spacing w:before="120" w:after="0"/>
      <w:ind w:hanging="0" w:left="720"/>
      <w:contextualSpacing/>
    </w:pPr>
    <w:rPr/>
  </w:style>
  <w:style w:type="numbering" w:styleId="Pasdeliste" w:default="1">
    <w:name w:val="Pas de liste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LibreOffice/24.8.5.2$Windows_X86_64 LibreOffice_project/fddf2685c70b461e7832239a0162a77216259f22</Application>
  <AppVersion>15.0000</AppVersion>
  <Pages>27</Pages>
  <Words>855</Words>
  <Characters>4624</Characters>
  <CharactersWithSpaces>5450</CharactersWithSpaces>
  <Paragraphs>58</Paragraphs>
  <Company>VDM-BMPM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2025-04-11T10:27:00Z</dcterms:created>
  <dc:creator>LOEILLET Clementine</dc:creator>
  <dc:description/>
  <dc:language>fr-FR</dc:language>
  <cp:lastModifiedBy/>
  <dcterms:modified xsi:type="dcterms:W3CDTF">2025-06-27T09:27:23Z</dcterms:modified>
  <cp:revision>8</cp:revision>
  <dc:subject/>
  <dc:title>Marchés de prestations de services relatifs à la réalisation d'activités éducatives dans le cadre des Après-midis Éducatifs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